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303E" w14:textId="77777777" w:rsidR="00AB3B49" w:rsidRDefault="007C5743">
      <w:pPr>
        <w:spacing w:after="160"/>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Shinto</w:t>
      </w:r>
    </w:p>
    <w:p w14:paraId="460A7125" w14:textId="77777777" w:rsidR="00AB3B49" w:rsidRDefault="007C5743">
      <w:pPr>
        <w:spacing w:after="160"/>
        <w:jc w:val="center"/>
        <w:rPr>
          <w:rFonts w:ascii="Playfair Display" w:eastAsia="Playfair Display" w:hAnsi="Playfair Display" w:cs="Playfair Display"/>
          <w:b/>
          <w:sz w:val="48"/>
          <w:szCs w:val="48"/>
        </w:rPr>
      </w:pPr>
      <w:r>
        <w:rPr>
          <w:rFonts w:ascii="Playfair Display" w:eastAsia="Playfair Display" w:hAnsi="Playfair Display" w:cs="Playfair Display"/>
          <w:b/>
          <w:sz w:val="48"/>
          <w:szCs w:val="48"/>
        </w:rPr>
        <w:t>Læseplan</w:t>
      </w:r>
    </w:p>
    <w:p w14:paraId="19A3823E" w14:textId="77777777" w:rsidR="00CE1696" w:rsidRDefault="00CE1696">
      <w:pPr>
        <w:spacing w:after="160"/>
        <w:rPr>
          <w:rFonts w:ascii="Playfair Display" w:eastAsia="Playfair Display" w:hAnsi="Playfair Display" w:cs="Playfair Display"/>
          <w:b/>
          <w:sz w:val="32"/>
          <w:szCs w:val="32"/>
        </w:rPr>
      </w:pPr>
    </w:p>
    <w:p w14:paraId="30C84A48" w14:textId="77777777" w:rsidR="00AB3B49" w:rsidRDefault="007C5743">
      <w:pPr>
        <w:spacing w:after="160"/>
        <w:rPr>
          <w:rFonts w:ascii="Playfair Display" w:eastAsia="Playfair Display" w:hAnsi="Playfair Display" w:cs="Playfair Display"/>
          <w:b/>
          <w:sz w:val="32"/>
          <w:szCs w:val="32"/>
        </w:rPr>
      </w:pPr>
      <w:bookmarkStart w:id="0" w:name="_GoBack"/>
      <w:bookmarkEnd w:id="0"/>
      <w:r>
        <w:rPr>
          <w:rFonts w:ascii="Playfair Display" w:eastAsia="Playfair Display" w:hAnsi="Playfair Display" w:cs="Playfair Display"/>
          <w:b/>
          <w:sz w:val="32"/>
          <w:szCs w:val="32"/>
        </w:rPr>
        <w:t>De faglige mål</w:t>
      </w:r>
    </w:p>
    <w:p w14:paraId="0ED68A1F" w14:textId="77777777" w:rsidR="00AB3B49" w:rsidRDefault="007C5743">
      <w:pPr>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Eleverne skal kunne </w:t>
      </w:r>
    </w:p>
    <w:p w14:paraId="577D7232" w14:textId="77777777" w:rsidR="00AB3B49" w:rsidRDefault="007C5743">
      <w:pPr>
        <w:numPr>
          <w:ilvl w:val="0"/>
          <w:numId w:val="1"/>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karakterisere, analysere og fortolke klassiske og repræsentative shinto-kilder.</w:t>
      </w:r>
    </w:p>
    <w:p w14:paraId="0292C514" w14:textId="77777777" w:rsidR="00AB3B49" w:rsidRDefault="007C5743">
      <w:pPr>
        <w:numPr>
          <w:ilvl w:val="0"/>
          <w:numId w:val="8"/>
        </w:numPr>
        <w:ind w:hanging="360"/>
        <w:contextualSpacing/>
        <w:jc w:val="both"/>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diskutere religionsbegrebet i relation til shinto, herunder karakterisere hvad der kendetegner religiøsitet i Japan (religiøs pluralisme, ortopraksi, pragmatisk religion og levet religion).</w:t>
      </w:r>
    </w:p>
    <w:p w14:paraId="539F4CBB" w14:textId="77777777" w:rsidR="00AB3B49" w:rsidRDefault="007C5743">
      <w:pPr>
        <w:numPr>
          <w:ilvl w:val="0"/>
          <w:numId w:val="8"/>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analysere centrale forestillinger i shinto, herunder især kami-begrebet.</w:t>
      </w:r>
    </w:p>
    <w:p w14:paraId="214F922E" w14:textId="77777777" w:rsidR="00AB3B49" w:rsidRDefault="007C5743">
      <w:pPr>
        <w:numPr>
          <w:ilvl w:val="0"/>
          <w:numId w:val="8"/>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redegøre for shinto mellem stat og religion med Yasakuni-problemet som case.</w:t>
      </w:r>
    </w:p>
    <w:p w14:paraId="04A7BCF1" w14:textId="77777777" w:rsidR="00AB3B49" w:rsidRDefault="007C5743">
      <w:pPr>
        <w:numPr>
          <w:ilvl w:val="0"/>
          <w:numId w:val="8"/>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forstå rituel praksis og betydningen af renhed i shinto.</w:t>
      </w:r>
    </w:p>
    <w:p w14:paraId="32080EF1" w14:textId="77777777" w:rsidR="00AB3B49" w:rsidRDefault="007C5743">
      <w:pPr>
        <w:numPr>
          <w:ilvl w:val="0"/>
          <w:numId w:val="8"/>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diskutere teodicé-problemstillinger i forbindelse med tsunamien 2011.</w:t>
      </w:r>
    </w:p>
    <w:p w14:paraId="7A31FF86" w14:textId="77777777" w:rsidR="00AB3B49" w:rsidRDefault="007C5743">
      <w:pPr>
        <w:numPr>
          <w:ilvl w:val="0"/>
          <w:numId w:val="8"/>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perspektivere medialiseringen af shinto med henblik på at diskutere religionens betydning i Japan.</w:t>
      </w:r>
    </w:p>
    <w:p w14:paraId="6B24BEEC" w14:textId="77777777" w:rsidR="00AB3B49" w:rsidRDefault="00AB3B49">
      <w:pPr>
        <w:spacing w:after="160"/>
        <w:rPr>
          <w:rFonts w:ascii="Playfair Display" w:eastAsia="Playfair Display" w:hAnsi="Playfair Display" w:cs="Playfair Display"/>
          <w:b/>
          <w:sz w:val="32"/>
          <w:szCs w:val="32"/>
        </w:rPr>
      </w:pPr>
    </w:p>
    <w:p w14:paraId="7BBD5EB0" w14:textId="77777777" w:rsidR="00AB3B49" w:rsidRDefault="007C5743">
      <w:pPr>
        <w:spacing w:after="160"/>
        <w:rPr>
          <w:rFonts w:ascii="Playfair Display" w:eastAsia="Playfair Display" w:hAnsi="Playfair Display" w:cs="Playfair Display"/>
          <w:b/>
          <w:sz w:val="32"/>
          <w:szCs w:val="32"/>
        </w:rPr>
      </w:pPr>
      <w:r>
        <w:rPr>
          <w:rFonts w:ascii="Playfair Display" w:eastAsia="Playfair Display" w:hAnsi="Playfair Display" w:cs="Playfair Display"/>
          <w:b/>
          <w:sz w:val="32"/>
          <w:szCs w:val="32"/>
        </w:rPr>
        <w:t>Oversigt:</w:t>
      </w:r>
    </w:p>
    <w:p w14:paraId="2AE688FD"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Et udfordret religionsbegreb</w:t>
      </w:r>
    </w:p>
    <w:p w14:paraId="69221FE9"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det religiøse liv i Japan med inddragelse af begreber som pluralisme, inklusiv, ortopraksi.</w:t>
      </w:r>
    </w:p>
    <w:p w14:paraId="5D2F0ADB" w14:textId="77777777" w:rsidR="00AB3B49" w:rsidRDefault="00AB3B49">
      <w:pPr>
        <w:spacing w:after="160"/>
        <w:rPr>
          <w:rFonts w:ascii="Playfair Display" w:eastAsia="Playfair Display" w:hAnsi="Playfair Display" w:cs="Playfair Display"/>
          <w:sz w:val="24"/>
          <w:szCs w:val="24"/>
        </w:rPr>
      </w:pPr>
    </w:p>
    <w:p w14:paraId="70C04BE5"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Kilder: Ama Toshimaro: Hvorfor er japanere a-religiøse? I Andreasen og Borup: </w:t>
      </w:r>
      <w:r>
        <w:rPr>
          <w:rFonts w:ascii="Playfair Display" w:eastAsia="Playfair Display" w:hAnsi="Playfair Display" w:cs="Playfair Display"/>
          <w:i/>
          <w:sz w:val="24"/>
          <w:szCs w:val="24"/>
        </w:rPr>
        <w:t>Japansk religion</w:t>
      </w:r>
      <w:r>
        <w:rPr>
          <w:rFonts w:ascii="Playfair Display" w:eastAsia="Playfair Display" w:hAnsi="Playfair Display" w:cs="Playfair Display"/>
          <w:sz w:val="24"/>
          <w:szCs w:val="24"/>
        </w:rPr>
        <w:t>. Forlaget Univers. 2013. s 19-21.</w:t>
      </w:r>
    </w:p>
    <w:p w14:paraId="1C2C9651"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Baggrundsstof: ”</w:t>
      </w:r>
      <w:r w:rsidRPr="00B104F1">
        <w:rPr>
          <w:rFonts w:ascii="Playfair Display" w:eastAsia="Playfair Display" w:hAnsi="Playfair Display" w:cs="Playfair Display"/>
          <w:sz w:val="24"/>
          <w:szCs w:val="24"/>
          <w:lang w:val="en-US"/>
        </w:rPr>
        <w:t>Lost in tr</w:t>
      </w:r>
      <w:r w:rsidR="00F14BA4">
        <w:rPr>
          <w:rFonts w:ascii="Playfair Display" w:eastAsia="Playfair Display" w:hAnsi="Playfair Display" w:cs="Playfair Display"/>
          <w:sz w:val="24"/>
          <w:szCs w:val="24"/>
          <w:lang w:val="en-US"/>
        </w:rPr>
        <w:t>a</w:t>
      </w:r>
      <w:r w:rsidRPr="00B104F1">
        <w:rPr>
          <w:rFonts w:ascii="Playfair Display" w:eastAsia="Playfair Display" w:hAnsi="Playfair Display" w:cs="Playfair Display"/>
          <w:sz w:val="24"/>
          <w:szCs w:val="24"/>
          <w:lang w:val="en-US"/>
        </w:rPr>
        <w:t xml:space="preserve">nslation”. I </w:t>
      </w:r>
      <w:r w:rsidRPr="00B104F1">
        <w:rPr>
          <w:rFonts w:ascii="Playfair Display" w:eastAsia="Playfair Display" w:hAnsi="Playfair Display" w:cs="Playfair Display"/>
          <w:i/>
          <w:sz w:val="24"/>
          <w:szCs w:val="24"/>
          <w:lang w:val="en-US"/>
        </w:rPr>
        <w:t>Religioner lever</w:t>
      </w:r>
      <w:r w:rsidRPr="00B104F1">
        <w:rPr>
          <w:rFonts w:ascii="Playfair Display" w:eastAsia="Playfair Display" w:hAnsi="Playfair Display" w:cs="Playfair Display"/>
          <w:sz w:val="24"/>
          <w:szCs w:val="24"/>
          <w:lang w:val="en-US"/>
        </w:rPr>
        <w:t xml:space="preserve">. </w:t>
      </w:r>
      <w:r>
        <w:rPr>
          <w:rFonts w:ascii="Playfair Display" w:eastAsia="Playfair Display" w:hAnsi="Playfair Display" w:cs="Playfair Display"/>
          <w:sz w:val="24"/>
          <w:szCs w:val="24"/>
        </w:rPr>
        <w:t>Lindhardt og Ringhof.2017. s. 244-246</w:t>
      </w:r>
    </w:p>
    <w:p w14:paraId="758F5A4B" w14:textId="77777777" w:rsidR="00AB3B49" w:rsidRDefault="00AB3B49">
      <w:pPr>
        <w:spacing w:after="160"/>
        <w:rPr>
          <w:rFonts w:ascii="Playfair Display" w:eastAsia="Playfair Display" w:hAnsi="Playfair Display" w:cs="Playfair Display"/>
          <w:sz w:val="24"/>
          <w:szCs w:val="24"/>
        </w:rPr>
      </w:pPr>
    </w:p>
    <w:p w14:paraId="1787EA48"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54338986" w14:textId="77777777" w:rsidR="00AB3B49" w:rsidRDefault="007C5743">
      <w:pPr>
        <w:numPr>
          <w:ilvl w:val="0"/>
          <w:numId w:val="13"/>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Innovationsopgave: Lost in translation. En klasse skal på studietur til Kyoto: Lav en mini-guide som skal hjælpe dem til at forstå det religiøse liv i Japan, herunder korrekt adfærd ved helligdomme.</w:t>
      </w:r>
    </w:p>
    <w:p w14:paraId="582FAA74" w14:textId="77777777" w:rsidR="00AB3B49" w:rsidRDefault="007C5743">
      <w:pPr>
        <w:numPr>
          <w:ilvl w:val="0"/>
          <w:numId w:val="13"/>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Hvad fortæller statistiske tal om japansk religion? Kan hentes her:</w:t>
      </w:r>
      <w:hyperlink r:id="rId6">
        <w:r>
          <w:rPr>
            <w:rFonts w:ascii="Playfair Display" w:eastAsia="Playfair Display" w:hAnsi="Playfair Display" w:cs="Playfair Display"/>
            <w:sz w:val="24"/>
            <w:szCs w:val="24"/>
          </w:rPr>
          <w:t xml:space="preserve"> </w:t>
        </w:r>
      </w:hyperlink>
      <w:hyperlink r:id="rId7">
        <w:r>
          <w:rPr>
            <w:rFonts w:ascii="Playfair Display" w:eastAsia="Playfair Display" w:hAnsi="Playfair Display" w:cs="Playfair Display"/>
            <w:color w:val="1155CC"/>
            <w:sz w:val="24"/>
            <w:szCs w:val="24"/>
            <w:u w:val="single"/>
          </w:rPr>
          <w:t>http://www.worldvaluessurvey.org/WVSDocumentationWV6.jsp</w:t>
        </w:r>
      </w:hyperlink>
    </w:p>
    <w:p w14:paraId="37AAF6A3" w14:textId="77777777" w:rsidR="00AB3B49" w:rsidRDefault="007C5743">
      <w:pPr>
        <w:numPr>
          <w:ilvl w:val="0"/>
          <w:numId w:val="13"/>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Se forskellige klip om japansk religion og fortæl, hvad der kendetegner religion i Japan. Forslag til spændende klip kan hentes her:</w:t>
      </w:r>
    </w:p>
    <w:p w14:paraId="34C4A488" w14:textId="77777777" w:rsidR="00AB3B49" w:rsidRDefault="00CE1696">
      <w:pPr>
        <w:spacing w:after="160" w:line="360" w:lineRule="auto"/>
        <w:rPr>
          <w:rFonts w:ascii="Playfair Display" w:eastAsia="Playfair Display" w:hAnsi="Playfair Display" w:cs="Playfair Display"/>
          <w:color w:val="0563C1"/>
          <w:sz w:val="24"/>
          <w:szCs w:val="24"/>
          <w:u w:val="single"/>
        </w:rPr>
      </w:pPr>
      <w:hyperlink r:id="rId8">
        <w:r w:rsidR="007C5743">
          <w:rPr>
            <w:rFonts w:ascii="Playfair Display" w:eastAsia="Playfair Display" w:hAnsi="Playfair Display" w:cs="Playfair Display"/>
            <w:color w:val="0563C1"/>
            <w:sz w:val="24"/>
            <w:szCs w:val="24"/>
            <w:u w:val="single"/>
          </w:rPr>
          <w:t>https://www.youtube.com/watch?v=-P4BJdOMce8</w:t>
        </w:r>
      </w:hyperlink>
    </w:p>
    <w:p w14:paraId="76E8BCA9" w14:textId="77777777" w:rsidR="00AB3B49" w:rsidRDefault="00CE1696">
      <w:pPr>
        <w:spacing w:after="160" w:line="360" w:lineRule="auto"/>
        <w:rPr>
          <w:rFonts w:ascii="Playfair Display" w:eastAsia="Playfair Display" w:hAnsi="Playfair Display" w:cs="Playfair Display"/>
          <w:color w:val="0563C1"/>
          <w:sz w:val="24"/>
          <w:szCs w:val="24"/>
          <w:u w:val="single"/>
        </w:rPr>
      </w:pPr>
      <w:hyperlink r:id="rId9">
        <w:r w:rsidR="007C5743">
          <w:rPr>
            <w:rFonts w:ascii="Playfair Display" w:eastAsia="Playfair Display" w:hAnsi="Playfair Display" w:cs="Playfair Display"/>
            <w:color w:val="0563C1"/>
            <w:sz w:val="24"/>
            <w:szCs w:val="24"/>
            <w:u w:val="single"/>
          </w:rPr>
          <w:t>https://www.youtube.com/watch?v=3cpCpfQoMig</w:t>
        </w:r>
      </w:hyperlink>
    </w:p>
    <w:p w14:paraId="599A95A1" w14:textId="77777777" w:rsidR="00AB3B49" w:rsidRDefault="00CE1696">
      <w:pPr>
        <w:spacing w:after="160" w:line="360" w:lineRule="auto"/>
        <w:rPr>
          <w:rFonts w:ascii="Playfair Display" w:eastAsia="Playfair Display" w:hAnsi="Playfair Display" w:cs="Playfair Display"/>
          <w:color w:val="0563C1"/>
          <w:sz w:val="24"/>
          <w:szCs w:val="24"/>
          <w:u w:val="single"/>
        </w:rPr>
      </w:pPr>
      <w:hyperlink r:id="rId10">
        <w:r w:rsidR="007C5743">
          <w:rPr>
            <w:rFonts w:ascii="Playfair Display" w:eastAsia="Playfair Display" w:hAnsi="Playfair Display" w:cs="Playfair Display"/>
            <w:color w:val="0563C1"/>
            <w:sz w:val="24"/>
            <w:szCs w:val="24"/>
            <w:u w:val="single"/>
          </w:rPr>
          <w:t>https://www.youtube.com/watch?v=RjHhFgvq_co</w:t>
        </w:r>
      </w:hyperlink>
    </w:p>
    <w:p w14:paraId="1A6B339B" w14:textId="77777777" w:rsidR="00AB3B49" w:rsidRDefault="00CE1696">
      <w:pPr>
        <w:spacing w:after="160" w:line="360" w:lineRule="auto"/>
        <w:rPr>
          <w:rFonts w:ascii="Playfair Display" w:eastAsia="Playfair Display" w:hAnsi="Playfair Display" w:cs="Playfair Display"/>
          <w:color w:val="0563C1"/>
          <w:sz w:val="24"/>
          <w:szCs w:val="24"/>
          <w:u w:val="single"/>
        </w:rPr>
      </w:pPr>
      <w:hyperlink r:id="rId11">
        <w:r w:rsidR="007C5743">
          <w:rPr>
            <w:rFonts w:ascii="Playfair Display" w:eastAsia="Playfair Display" w:hAnsi="Playfair Display" w:cs="Playfair Display"/>
            <w:color w:val="0563C1"/>
            <w:sz w:val="24"/>
            <w:szCs w:val="24"/>
            <w:u w:val="single"/>
          </w:rPr>
          <w:t>https://www.youtube.com/watch?v=hf6B-_tp6gM</w:t>
        </w:r>
      </w:hyperlink>
    </w:p>
    <w:p w14:paraId="1DA78D4A" w14:textId="77777777" w:rsidR="00AB3B49" w:rsidRDefault="007C5743">
      <w:pPr>
        <w:numPr>
          <w:ilvl w:val="0"/>
          <w:numId w:val="14"/>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Undersøg følgende hjemmesider og diskuter, hvad de fremhæver som det centrale ved shinto:</w:t>
      </w:r>
    </w:p>
    <w:p w14:paraId="3FE40A67" w14:textId="77777777" w:rsidR="00AB3B49" w:rsidRDefault="00CE1696">
      <w:pPr>
        <w:spacing w:after="160" w:line="360" w:lineRule="auto"/>
        <w:rPr>
          <w:rFonts w:ascii="Playfair Display" w:eastAsia="Playfair Display" w:hAnsi="Playfair Display" w:cs="Playfair Display"/>
          <w:color w:val="1155CC"/>
          <w:sz w:val="24"/>
          <w:szCs w:val="24"/>
          <w:u w:val="single"/>
        </w:rPr>
      </w:pPr>
      <w:hyperlink r:id="rId12">
        <w:r w:rsidR="007C5743">
          <w:rPr>
            <w:rFonts w:ascii="Playfair Display" w:eastAsia="Playfair Display" w:hAnsi="Playfair Display" w:cs="Playfair Display"/>
            <w:color w:val="1155CC"/>
            <w:sz w:val="24"/>
            <w:szCs w:val="24"/>
            <w:u w:val="single"/>
          </w:rPr>
          <w:t>http://www.jinjahoncho.or.jp/en/index.html</w:t>
        </w:r>
      </w:hyperlink>
    </w:p>
    <w:p w14:paraId="2A6FE5F0" w14:textId="77777777" w:rsidR="00AB3B49" w:rsidRDefault="00CE1696">
      <w:pPr>
        <w:spacing w:after="160" w:line="360" w:lineRule="auto"/>
        <w:rPr>
          <w:rFonts w:ascii="Playfair Display" w:eastAsia="Playfair Display" w:hAnsi="Playfair Display" w:cs="Playfair Display"/>
          <w:color w:val="1155CC"/>
          <w:sz w:val="24"/>
          <w:szCs w:val="24"/>
          <w:u w:val="single"/>
        </w:rPr>
      </w:pPr>
      <w:hyperlink r:id="rId13">
        <w:r w:rsidR="007C5743">
          <w:rPr>
            <w:rFonts w:ascii="Playfair Display" w:eastAsia="Playfair Display" w:hAnsi="Playfair Display" w:cs="Playfair Display"/>
            <w:color w:val="1155CC"/>
            <w:sz w:val="24"/>
            <w:szCs w:val="24"/>
            <w:u w:val="single"/>
          </w:rPr>
          <w:t>http://www.isejingu.or.jp/en/</w:t>
        </w:r>
      </w:hyperlink>
    </w:p>
    <w:p w14:paraId="21D4FDD5" w14:textId="77777777" w:rsidR="00AB3B49" w:rsidRDefault="00AB3B49">
      <w:pPr>
        <w:spacing w:after="160"/>
        <w:rPr>
          <w:rFonts w:ascii="Playfair Display" w:eastAsia="Playfair Display" w:hAnsi="Playfair Display" w:cs="Playfair Display"/>
          <w:sz w:val="24"/>
          <w:szCs w:val="24"/>
        </w:rPr>
      </w:pPr>
    </w:p>
    <w:p w14:paraId="031A9F76"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2F64257E"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Religiøse forestillinger</w:t>
      </w:r>
    </w:p>
    <w:p w14:paraId="2FFF3263"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centrale forestillinger i shinto, herunder kami-begrebet.</w:t>
      </w:r>
    </w:p>
    <w:p w14:paraId="6C3CC1C0" w14:textId="77777777" w:rsidR="00AB3B49" w:rsidRDefault="00AB3B49">
      <w:pPr>
        <w:spacing w:after="160"/>
        <w:rPr>
          <w:rFonts w:ascii="Playfair Display" w:eastAsia="Playfair Display" w:hAnsi="Playfair Display" w:cs="Playfair Display"/>
          <w:sz w:val="24"/>
          <w:szCs w:val="24"/>
        </w:rPr>
      </w:pPr>
    </w:p>
    <w:p w14:paraId="71E1CF05"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 Carmen Blacher: Kami.</w:t>
      </w:r>
      <w:r w:rsidR="00F14BA4">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 xml:space="preserve">I Andreasen og Borup: </w:t>
      </w:r>
      <w:r>
        <w:rPr>
          <w:rFonts w:ascii="Playfair Display" w:eastAsia="Playfair Display" w:hAnsi="Playfair Display" w:cs="Playfair Display"/>
          <w:i/>
          <w:sz w:val="24"/>
          <w:szCs w:val="24"/>
        </w:rPr>
        <w:t>Japansk religion</w:t>
      </w:r>
      <w:r>
        <w:rPr>
          <w:rFonts w:ascii="Playfair Display" w:eastAsia="Playfair Display" w:hAnsi="Playfair Display" w:cs="Playfair Display"/>
          <w:sz w:val="24"/>
          <w:szCs w:val="24"/>
        </w:rPr>
        <w:t>. Forlaget Univers. 2013. s 54-56</w:t>
      </w:r>
    </w:p>
    <w:p w14:paraId="7ECFDEC9"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Natursynet og kamibegrebet.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w:t>
      </w:r>
      <w:r w:rsidR="00F14BA4">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2017. s. 247-249.</w:t>
      </w:r>
    </w:p>
    <w:p w14:paraId="07A2BB7C" w14:textId="77777777" w:rsidR="00AB3B49" w:rsidRDefault="00AB3B49">
      <w:pPr>
        <w:spacing w:after="160"/>
        <w:rPr>
          <w:rFonts w:ascii="Playfair Display" w:eastAsia="Playfair Display" w:hAnsi="Playfair Display" w:cs="Playfair Display"/>
          <w:sz w:val="24"/>
          <w:szCs w:val="24"/>
        </w:rPr>
      </w:pPr>
    </w:p>
    <w:p w14:paraId="08FF3E45"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430495B6" w14:textId="77777777" w:rsidR="00AB3B49" w:rsidRDefault="007C5743">
      <w:pPr>
        <w:numPr>
          <w:ilvl w:val="0"/>
          <w:numId w:val="11"/>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Se traileren til dokumentarfilmen </w:t>
      </w:r>
      <w:r>
        <w:rPr>
          <w:rFonts w:ascii="Playfair Display" w:eastAsia="Playfair Display" w:hAnsi="Playfair Display" w:cs="Playfair Display"/>
          <w:i/>
          <w:sz w:val="24"/>
          <w:szCs w:val="24"/>
        </w:rPr>
        <w:t>Shugendo now</w:t>
      </w:r>
      <w:r>
        <w:rPr>
          <w:rFonts w:ascii="Playfair Display" w:eastAsia="Playfair Display" w:hAnsi="Playfair Display" w:cs="Playfair Display"/>
          <w:sz w:val="24"/>
          <w:szCs w:val="24"/>
        </w:rPr>
        <w:t xml:space="preserve"> på youtube. Beskriv forholdet til naturen, der kommer til udtryk deri.</w:t>
      </w:r>
    </w:p>
    <w:p w14:paraId="21F04D3F" w14:textId="77777777" w:rsidR="00AB3B49" w:rsidRDefault="007C5743">
      <w:pPr>
        <w:numPr>
          <w:ilvl w:val="0"/>
          <w:numId w:val="11"/>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Lav et virtuelt leksikonopslag, hvor du med dine egne ord forklarer kami-begrebet. Giv mindst tre eksempler på kami. Find billeder som illustration.</w:t>
      </w:r>
    </w:p>
    <w:p w14:paraId="1AD03378" w14:textId="77777777" w:rsidR="00AB3B49" w:rsidRDefault="007C5743">
      <w:pPr>
        <w:numPr>
          <w:ilvl w:val="0"/>
          <w:numId w:val="11"/>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Undersøg Jinja Honchos hjemmeside (</w:t>
      </w:r>
      <w:hyperlink r:id="rId14">
        <w:r>
          <w:rPr>
            <w:rFonts w:ascii="Playfair Display" w:eastAsia="Playfair Display" w:hAnsi="Playfair Display" w:cs="Playfair Display"/>
            <w:color w:val="1155CC"/>
            <w:sz w:val="24"/>
            <w:szCs w:val="24"/>
            <w:u w:val="single"/>
          </w:rPr>
          <w:t>http://www.jinjahoncho.or.jp/en/</w:t>
        </w:r>
      </w:hyperlink>
      <w:r>
        <w:rPr>
          <w:rFonts w:ascii="Playfair Display" w:eastAsia="Playfair Display" w:hAnsi="Playfair Display" w:cs="Playfair Display"/>
          <w:sz w:val="24"/>
          <w:szCs w:val="24"/>
        </w:rPr>
        <w:t xml:space="preserve">). Se bl.a. på billedsiden. Sammenlign med Den Danske Folkekirkes officielle hjemmeside. Tal om forskelle og ligheder. </w:t>
      </w:r>
    </w:p>
    <w:p w14:paraId="4053444E"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557049A3"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Shinto – mellem stat og religion</w:t>
      </w:r>
    </w:p>
    <w:p w14:paraId="4FC5E23B"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forholdet mellem stat og religion i shinto, herunder Yasukuni-problematikken samt nationalismens brug af shinto.</w:t>
      </w:r>
    </w:p>
    <w:p w14:paraId="7584E079" w14:textId="77777777" w:rsidR="00AB3B49" w:rsidRDefault="00AB3B49">
      <w:pPr>
        <w:spacing w:after="160"/>
        <w:rPr>
          <w:rFonts w:ascii="Playfair Display" w:eastAsia="Playfair Display" w:hAnsi="Playfair Display" w:cs="Playfair Display"/>
          <w:sz w:val="24"/>
          <w:szCs w:val="24"/>
        </w:rPr>
      </w:pPr>
    </w:p>
    <w:p w14:paraId="05A48982"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Kilder: Kojiki: Myter fra Kojiki. I Andreasen og Borup: </w:t>
      </w:r>
      <w:r>
        <w:rPr>
          <w:rFonts w:ascii="Playfair Display" w:eastAsia="Playfair Display" w:hAnsi="Playfair Display" w:cs="Playfair Display"/>
          <w:i/>
          <w:sz w:val="24"/>
          <w:szCs w:val="24"/>
        </w:rPr>
        <w:t>Japansk religion</w:t>
      </w:r>
      <w:r>
        <w:rPr>
          <w:rFonts w:ascii="Playfair Display" w:eastAsia="Playfair Display" w:hAnsi="Playfair Display" w:cs="Playfair Display"/>
          <w:sz w:val="24"/>
          <w:szCs w:val="24"/>
        </w:rPr>
        <w:t>. Forlaget Univers. 2013. s. 58-65</w:t>
      </w:r>
    </w:p>
    <w:p w14:paraId="143BE3F8"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Ringhof.2017. s. 250-253.</w:t>
      </w:r>
    </w:p>
    <w:p w14:paraId="58A56D38" w14:textId="77777777" w:rsidR="00AB3B49" w:rsidRDefault="00AB3B49">
      <w:pPr>
        <w:spacing w:after="160"/>
        <w:rPr>
          <w:rFonts w:ascii="Playfair Display" w:eastAsia="Playfair Display" w:hAnsi="Playfair Display" w:cs="Playfair Display"/>
          <w:sz w:val="24"/>
          <w:szCs w:val="24"/>
        </w:rPr>
      </w:pPr>
    </w:p>
    <w:p w14:paraId="5D5BEC29"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2A7FD389" w14:textId="77777777" w:rsidR="00AB3B49" w:rsidRDefault="007C5743">
      <w:pPr>
        <w:numPr>
          <w:ilvl w:val="0"/>
          <w:numId w:val="9"/>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 BBCs nyhedsudsendelse om Shinzo Abes besøg i Yasukuni. Kan hentes her:</w:t>
      </w:r>
      <w:hyperlink r:id="rId15">
        <w:r>
          <w:rPr>
            <w:rFonts w:ascii="Playfair Display" w:eastAsia="Playfair Display" w:hAnsi="Playfair Display" w:cs="Playfair Display"/>
            <w:sz w:val="24"/>
            <w:szCs w:val="24"/>
          </w:rPr>
          <w:t xml:space="preserve"> </w:t>
        </w:r>
      </w:hyperlink>
      <w:hyperlink r:id="rId16">
        <w:r>
          <w:rPr>
            <w:rFonts w:ascii="Playfair Display" w:eastAsia="Playfair Display" w:hAnsi="Playfair Display" w:cs="Playfair Display"/>
            <w:color w:val="1155CC"/>
            <w:sz w:val="24"/>
            <w:szCs w:val="24"/>
            <w:u w:val="single"/>
          </w:rPr>
          <w:t>http://www.bbc.com/news/world-asia-25518137</w:t>
        </w:r>
      </w:hyperlink>
    </w:p>
    <w:p w14:paraId="04E3052A" w14:textId="77777777" w:rsidR="00AB3B49" w:rsidRDefault="007C5743">
      <w:pPr>
        <w:numPr>
          <w:ilvl w:val="0"/>
          <w:numId w:val="9"/>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Undersøg hjemmesiden for Yasukuni-helligdommen og diskuter hvilken selvforståelse, der kommer til udtryk på hjemmesiden. Kan hentes her</w:t>
      </w:r>
      <w:hyperlink r:id="rId17">
        <w:r>
          <w:rPr>
            <w:rFonts w:ascii="Playfair Display" w:eastAsia="Playfair Display" w:hAnsi="Playfair Display" w:cs="Playfair Display"/>
            <w:sz w:val="24"/>
            <w:szCs w:val="24"/>
          </w:rPr>
          <w:t xml:space="preserve"> </w:t>
        </w:r>
      </w:hyperlink>
      <w:hyperlink r:id="rId18">
        <w:r>
          <w:rPr>
            <w:rFonts w:ascii="Playfair Display" w:eastAsia="Playfair Display" w:hAnsi="Playfair Display" w:cs="Playfair Display"/>
            <w:color w:val="1155CC"/>
            <w:sz w:val="24"/>
            <w:szCs w:val="24"/>
            <w:u w:val="single"/>
          </w:rPr>
          <w:t>http://www.yasukuni.or.jp/english/</w:t>
        </w:r>
      </w:hyperlink>
    </w:p>
    <w:p w14:paraId="1449E04C" w14:textId="77777777" w:rsidR="00AB3B49" w:rsidRDefault="007C5743">
      <w:pPr>
        <w:numPr>
          <w:ilvl w:val="0"/>
          <w:numId w:val="9"/>
        </w:numPr>
        <w:spacing w:after="160"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Nyere forskning understreger, at Kojiki, til trods for forlæg i mundtligt fortællestof, må betegnes som en konstruktion af hoffet.  Diskuter, hvordan synspunkter, som kan tjene hoffet, legitimeres i myterne. Diskuter samspil mellem religion og politik i tidlig shinto.</w:t>
      </w:r>
    </w:p>
    <w:p w14:paraId="712E7463" w14:textId="77777777" w:rsidR="00AB3B49" w:rsidRDefault="00AB3B49">
      <w:pPr>
        <w:spacing w:after="160"/>
        <w:rPr>
          <w:rFonts w:ascii="Playfair Display" w:eastAsia="Playfair Display" w:hAnsi="Playfair Display" w:cs="Playfair Display"/>
          <w:sz w:val="24"/>
          <w:szCs w:val="24"/>
        </w:rPr>
      </w:pPr>
    </w:p>
    <w:p w14:paraId="1E33DD52"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Religiøs praksis. Del I</w:t>
      </w:r>
    </w:p>
    <w:p w14:paraId="46BE673C"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rituel praksis og betydningen af renhed i shinto.</w:t>
      </w:r>
    </w:p>
    <w:p w14:paraId="118B377A"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24DBEC29"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 Norito, den store renselse.</w:t>
      </w:r>
      <w:r w:rsidR="00F14BA4">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 xml:space="preserve">I Andreasen og Borup: </w:t>
      </w:r>
      <w:r>
        <w:rPr>
          <w:rFonts w:ascii="Playfair Display" w:eastAsia="Playfair Display" w:hAnsi="Playfair Display" w:cs="Playfair Display"/>
          <w:i/>
          <w:sz w:val="24"/>
          <w:szCs w:val="24"/>
        </w:rPr>
        <w:t>Japansk religion</w:t>
      </w:r>
      <w:r>
        <w:rPr>
          <w:rFonts w:ascii="Playfair Display" w:eastAsia="Playfair Display" w:hAnsi="Playfair Display" w:cs="Playfair Display"/>
          <w:sz w:val="24"/>
          <w:szCs w:val="24"/>
        </w:rPr>
        <w:t>. Forlaget Univers. 2013. s.66-70</w:t>
      </w:r>
    </w:p>
    <w:p w14:paraId="23FF9426" w14:textId="77777777" w:rsidR="00AB3B49" w:rsidRDefault="00AB3B49" w:rsidP="007C5743">
      <w:pPr>
        <w:spacing w:after="160"/>
        <w:ind w:left="720"/>
        <w:contextualSpacing/>
        <w:rPr>
          <w:rFonts w:ascii="Playfair Display" w:eastAsia="Playfair Display" w:hAnsi="Playfair Display" w:cs="Playfair Display"/>
          <w:sz w:val="24"/>
          <w:szCs w:val="24"/>
        </w:rPr>
      </w:pPr>
    </w:p>
    <w:p w14:paraId="1EE33293"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Ringhof.2017. s.254-256.</w:t>
      </w:r>
    </w:p>
    <w:p w14:paraId="0D17F0CC" w14:textId="77777777" w:rsidR="00AB3B49" w:rsidRDefault="00AB3B49">
      <w:pPr>
        <w:spacing w:after="160"/>
        <w:rPr>
          <w:rFonts w:ascii="Playfair Display" w:eastAsia="Playfair Display" w:hAnsi="Playfair Display" w:cs="Playfair Display"/>
          <w:sz w:val="24"/>
          <w:szCs w:val="24"/>
        </w:rPr>
      </w:pPr>
    </w:p>
    <w:p w14:paraId="6A7D68D8"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682C2326" w14:textId="77777777" w:rsidR="00AB3B49" w:rsidRPr="00B104F1" w:rsidRDefault="007C5743">
      <w:pPr>
        <w:numPr>
          <w:ilvl w:val="0"/>
          <w:numId w:val="16"/>
        </w:numPr>
        <w:spacing w:after="160"/>
        <w:ind w:hanging="360"/>
        <w:contextualSpacing/>
        <w:rPr>
          <w:rFonts w:ascii="Playfair Display" w:eastAsia="Playfair Display" w:hAnsi="Playfair Display" w:cs="Playfair Display"/>
          <w:sz w:val="24"/>
          <w:szCs w:val="24"/>
          <w:lang w:val="en-US"/>
        </w:rPr>
      </w:pPr>
      <w:r>
        <w:rPr>
          <w:rFonts w:ascii="Playfair Display" w:eastAsia="Playfair Display" w:hAnsi="Playfair Display" w:cs="Playfair Display"/>
          <w:sz w:val="24"/>
          <w:szCs w:val="24"/>
        </w:rPr>
        <w:lastRenderedPageBreak/>
        <w:t xml:space="preserve">Find youtube-videoer af shintos renselsesritual. Forklar med jeres egne ord, hvorfor renhed spiller så stor en rolle i religionen. </w:t>
      </w:r>
      <w:r w:rsidRPr="00B104F1">
        <w:rPr>
          <w:rFonts w:ascii="Playfair Display" w:eastAsia="Playfair Display" w:hAnsi="Playfair Display" w:cs="Playfair Display"/>
          <w:sz w:val="24"/>
          <w:szCs w:val="24"/>
          <w:lang w:val="en-US"/>
        </w:rPr>
        <w:t>Inddrag Mary Douglas-citatet "dirt is material in the wrong place".</w:t>
      </w:r>
    </w:p>
    <w:p w14:paraId="004D4C3D" w14:textId="77777777" w:rsidR="00AB3B49" w:rsidRDefault="007C5743">
      <w:pPr>
        <w:numPr>
          <w:ilvl w:val="0"/>
          <w:numId w:val="16"/>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Lav en religionsfaglig analyse af norito-teksten til O-harae-ceremonierne. Inddrag pointerne omkring det nationales betydning i religionen.</w:t>
      </w:r>
    </w:p>
    <w:p w14:paraId="30727510" w14:textId="77777777" w:rsidR="00AB3B49" w:rsidRDefault="007C5743">
      <w:pPr>
        <w:numPr>
          <w:ilvl w:val="0"/>
          <w:numId w:val="16"/>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 youtube-video sumobrydning:</w:t>
      </w:r>
      <w:hyperlink r:id="rId19">
        <w:r>
          <w:rPr>
            <w:rFonts w:ascii="Playfair Display" w:eastAsia="Playfair Display" w:hAnsi="Playfair Display" w:cs="Playfair Display"/>
            <w:sz w:val="24"/>
            <w:szCs w:val="24"/>
          </w:rPr>
          <w:t xml:space="preserve"> </w:t>
        </w:r>
      </w:hyperlink>
      <w:hyperlink r:id="rId20">
        <w:r>
          <w:rPr>
            <w:rFonts w:ascii="Playfair Display" w:eastAsia="Playfair Display" w:hAnsi="Playfair Display" w:cs="Playfair Display"/>
            <w:color w:val="1155CC"/>
            <w:sz w:val="24"/>
            <w:szCs w:val="24"/>
            <w:u w:val="single"/>
          </w:rPr>
          <w:t>https://www.youtube.com/watch?v=-ow3pL8Px84</w:t>
        </w:r>
      </w:hyperlink>
      <w:r>
        <w:rPr>
          <w:rFonts w:ascii="Playfair Display" w:eastAsia="Playfair Display" w:hAnsi="Playfair Display" w:cs="Playfair Display"/>
          <w:sz w:val="24"/>
          <w:szCs w:val="24"/>
        </w:rPr>
        <w:t xml:space="preserve"> og forklar hvilke religiøse elementer, der indgår i sporten.</w:t>
      </w:r>
    </w:p>
    <w:p w14:paraId="3201A36F" w14:textId="77777777" w:rsidR="00AB3B49" w:rsidRDefault="007C5743">
      <w:pPr>
        <w:numPr>
          <w:ilvl w:val="0"/>
          <w:numId w:val="16"/>
        </w:numPr>
        <w:spacing w:line="360" w:lineRule="auto"/>
        <w:ind w:hanging="360"/>
        <w:contextualSpacing/>
        <w:rPr>
          <w:rFonts w:ascii="Playfair Display" w:eastAsia="Playfair Display" w:hAnsi="Playfair Display" w:cs="Playfair Display"/>
          <w:sz w:val="24"/>
          <w:szCs w:val="24"/>
        </w:rPr>
      </w:pPr>
      <w:r w:rsidRPr="00B104F1">
        <w:rPr>
          <w:rFonts w:ascii="Playfair Display" w:eastAsia="Playfair Display" w:hAnsi="Playfair Display" w:cs="Playfair Display"/>
          <w:sz w:val="24"/>
          <w:szCs w:val="24"/>
          <w:lang w:val="en-US"/>
        </w:rPr>
        <w:t xml:space="preserve">Find youtube-videoer af shintos bryllupsritual. </w:t>
      </w:r>
      <w:r>
        <w:rPr>
          <w:rFonts w:ascii="Playfair Display" w:eastAsia="Playfair Display" w:hAnsi="Playfair Display" w:cs="Playfair Display"/>
          <w:sz w:val="24"/>
          <w:szCs w:val="24"/>
        </w:rPr>
        <w:t>Forestil jer, at I hedder Miyuki Suzuku og skal giftes. Skriv detaljeret dagbog for jeres længe ventede bryllupsdag. Hvad sker der og hvad betyder de enkelte dele af ritualet? Inddrag bagefter Arnold van Gennep og inddel overgangsritualet i faser.</w:t>
      </w:r>
    </w:p>
    <w:p w14:paraId="03E7992B" w14:textId="77777777" w:rsidR="00AB3B49" w:rsidRDefault="00AB3B49">
      <w:pPr>
        <w:spacing w:after="160"/>
        <w:rPr>
          <w:rFonts w:ascii="Playfair Display" w:eastAsia="Playfair Display" w:hAnsi="Playfair Display" w:cs="Playfair Display"/>
          <w:b/>
          <w:sz w:val="24"/>
          <w:szCs w:val="24"/>
        </w:rPr>
      </w:pPr>
    </w:p>
    <w:p w14:paraId="66EBB0CE"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Religiøs praksis. Del II</w:t>
      </w:r>
    </w:p>
    <w:p w14:paraId="7AEAB2C9"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rituel praksis og betydningen af renhed i shinto.</w:t>
      </w:r>
    </w:p>
    <w:p w14:paraId="18D9D510" w14:textId="77777777" w:rsidR="00AB3B49" w:rsidRDefault="00AB3B49">
      <w:pPr>
        <w:spacing w:after="160"/>
        <w:rPr>
          <w:rFonts w:ascii="Playfair Display" w:eastAsia="Playfair Display" w:hAnsi="Playfair Display" w:cs="Playfair Display"/>
          <w:sz w:val="24"/>
          <w:szCs w:val="24"/>
        </w:rPr>
      </w:pPr>
    </w:p>
    <w:p w14:paraId="77CF8D04"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 “Natlig Matsuri ved Iwashimizu” eller Esben Andreasen: “Ise – shintos hellige by”. I Andreasen og Borup: </w:t>
      </w:r>
      <w:r>
        <w:rPr>
          <w:rFonts w:ascii="Playfair Display" w:eastAsia="Playfair Display" w:hAnsi="Playfair Display" w:cs="Playfair Display"/>
          <w:i/>
          <w:sz w:val="24"/>
          <w:szCs w:val="24"/>
        </w:rPr>
        <w:t>Japansk religion</w:t>
      </w:r>
      <w:r>
        <w:rPr>
          <w:rFonts w:ascii="Playfair Display" w:eastAsia="Playfair Display" w:hAnsi="Playfair Display" w:cs="Playfair Display"/>
          <w:sz w:val="24"/>
          <w:szCs w:val="24"/>
        </w:rPr>
        <w:t>. Forlaget Univers. 2013. s. 71-76</w:t>
      </w:r>
    </w:p>
    <w:p w14:paraId="7061DA38"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“Solgudindens hjem i Ise”.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Ringhof.2017. s.256-261.</w:t>
      </w:r>
    </w:p>
    <w:p w14:paraId="74FD9BA3" w14:textId="77777777" w:rsidR="00AB3B49" w:rsidRDefault="00AB3B49">
      <w:pPr>
        <w:spacing w:line="360" w:lineRule="auto"/>
        <w:rPr>
          <w:rFonts w:ascii="Playfair Display" w:eastAsia="Playfair Display" w:hAnsi="Playfair Display" w:cs="Playfair Display"/>
          <w:sz w:val="24"/>
          <w:szCs w:val="24"/>
        </w:rPr>
      </w:pPr>
    </w:p>
    <w:p w14:paraId="4048C1D0" w14:textId="77777777" w:rsidR="00AB3B49" w:rsidRDefault="007C5743">
      <w:pPr>
        <w:spacing w:line="36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42401D4E" w14:textId="77777777" w:rsidR="00AB3B49" w:rsidRDefault="007C5743">
      <w:pPr>
        <w:numPr>
          <w:ilvl w:val="0"/>
          <w:numId w:val="16"/>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Find oversigtsbilleder af Ise-helligdommen. Lav en præsentation af helligdommen, hvor I bl.a. kommer ind på betydningen af det mytologiske forlæg, stedets status som axis mundi, tabu-forskrifter samt betydningen af den 20- årige genopførsel. </w:t>
      </w:r>
    </w:p>
    <w:p w14:paraId="30B123E3" w14:textId="77777777" w:rsidR="00AB3B49" w:rsidRDefault="00AB3B49">
      <w:pPr>
        <w:spacing w:after="160"/>
        <w:rPr>
          <w:rFonts w:ascii="Playfair Display" w:eastAsia="Playfair Display" w:hAnsi="Playfair Display" w:cs="Playfair Display"/>
          <w:b/>
          <w:sz w:val="24"/>
          <w:szCs w:val="24"/>
        </w:rPr>
      </w:pPr>
    </w:p>
    <w:p w14:paraId="16BA7A2F"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Tsunami og teodicé</w:t>
      </w:r>
    </w:p>
    <w:p w14:paraId="0AEE11D4"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religiøse gruppers respons på tsunamien 11. marts 2011.</w:t>
      </w:r>
    </w:p>
    <w:p w14:paraId="6A2EA0B2"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19D7ACBA"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Kilder: Barbara Bradley Hagerty: “Efter tsunamien søger japanerne mod de gamle ritualer” i Grundbogen til religion c, Systime 2012</w:t>
      </w:r>
    </w:p>
    <w:p w14:paraId="020A09CE"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Ringhof.2017. s.261-263.</w:t>
      </w:r>
    </w:p>
    <w:p w14:paraId="5626DA15" w14:textId="77777777" w:rsidR="00AB3B49" w:rsidRDefault="00AB3B49">
      <w:pPr>
        <w:spacing w:after="160"/>
        <w:rPr>
          <w:rFonts w:ascii="Playfair Display" w:eastAsia="Playfair Display" w:hAnsi="Playfair Display" w:cs="Playfair Display"/>
          <w:sz w:val="24"/>
          <w:szCs w:val="24"/>
        </w:rPr>
      </w:pPr>
    </w:p>
    <w:p w14:paraId="2B8944F4"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4C270FA5" w14:textId="77777777" w:rsidR="00AB3B49" w:rsidRDefault="007C5743">
      <w:pPr>
        <w:numPr>
          <w:ilvl w:val="0"/>
          <w:numId w:val="4"/>
        </w:numPr>
        <w:spacing w:after="160"/>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Find klip hvor Ishihara Shintaro udtaler sig om katastrofen. Kan hentes her: </w:t>
      </w:r>
      <w:hyperlink r:id="rId21" w:history="1">
        <w:r w:rsidR="00F14BA4" w:rsidRPr="00F1060C">
          <w:rPr>
            <w:rStyle w:val="Llink"/>
            <w:rFonts w:ascii="Playfair Display" w:eastAsia="Playfair Display" w:hAnsi="Playfair Display" w:cs="Playfair Display"/>
            <w:sz w:val="24"/>
            <w:szCs w:val="24"/>
          </w:rPr>
          <w:t>https://www.youtube.com/watch?v=0-sGVXHbWvE</w:t>
        </w:r>
      </w:hyperlink>
      <w:r w:rsidR="00F14BA4">
        <w:rPr>
          <w:rFonts w:ascii="Playfair Display" w:eastAsia="Playfair Display" w:hAnsi="Playfair Display" w:cs="Playfair Display"/>
          <w:sz w:val="24"/>
          <w:szCs w:val="24"/>
        </w:rPr>
        <w:t xml:space="preserve"> </w:t>
      </w:r>
      <w:r>
        <w:rPr>
          <w:sz w:val="24"/>
          <w:szCs w:val="24"/>
        </w:rPr>
        <w:t xml:space="preserve"> </w:t>
      </w:r>
    </w:p>
    <w:p w14:paraId="118FFFF7" w14:textId="77777777" w:rsidR="00AB3B49" w:rsidRDefault="007C5743">
      <w:pPr>
        <w:numPr>
          <w:ilvl w:val="0"/>
          <w:numId w:val="4"/>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 CNNs dækning af tsunamien i Japan:</w:t>
      </w:r>
      <w:hyperlink r:id="rId22">
        <w:r>
          <w:rPr>
            <w:rFonts w:ascii="Playfair Display" w:eastAsia="Playfair Display" w:hAnsi="Playfair Display" w:cs="Playfair Display"/>
            <w:color w:val="1155CC"/>
            <w:sz w:val="24"/>
            <w:szCs w:val="24"/>
          </w:rPr>
          <w:t xml:space="preserve"> </w:t>
        </w:r>
      </w:hyperlink>
      <w:hyperlink r:id="rId23">
        <w:r>
          <w:rPr>
            <w:rFonts w:ascii="Playfair Display" w:eastAsia="Playfair Display" w:hAnsi="Playfair Display" w:cs="Playfair Display"/>
            <w:color w:val="0563C1"/>
            <w:sz w:val="24"/>
            <w:szCs w:val="24"/>
            <w:u w:val="single"/>
          </w:rPr>
          <w:t>https://www.youtube.com/watch?v=MegVkyremr4</w:t>
        </w:r>
      </w:hyperlink>
      <w:r>
        <w:rPr>
          <w:rFonts w:ascii="Playfair Display" w:eastAsia="Playfair Display" w:hAnsi="Playfair Display" w:cs="Playfair Display"/>
          <w:sz w:val="24"/>
          <w:szCs w:val="24"/>
        </w:rPr>
        <w:t>. Brug din viden om shinto til at forklare tsunamiens betydning for religiøs praksis.</w:t>
      </w:r>
    </w:p>
    <w:p w14:paraId="5C5B6418" w14:textId="77777777" w:rsidR="00AB3B49" w:rsidRDefault="00AB3B49">
      <w:pPr>
        <w:spacing w:after="160"/>
        <w:rPr>
          <w:rFonts w:ascii="Playfair Display" w:eastAsia="Playfair Display" w:hAnsi="Playfair Display" w:cs="Playfair Display"/>
          <w:b/>
          <w:sz w:val="24"/>
          <w:szCs w:val="24"/>
        </w:rPr>
      </w:pPr>
    </w:p>
    <w:p w14:paraId="391BE3DB" w14:textId="77777777" w:rsidR="00AB3B49" w:rsidRDefault="007C5743">
      <w:pPr>
        <w:spacing w:after="160"/>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Shinto 2:0</w:t>
      </w:r>
    </w:p>
    <w:p w14:paraId="7E011B0D"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Fokus på medialiseringen af shinto med henblik på at diskutere religionens betydning i Japan.</w:t>
      </w:r>
    </w:p>
    <w:p w14:paraId="0B77C167"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Kilde: Hayao Miyazakis </w:t>
      </w:r>
      <w:r>
        <w:rPr>
          <w:rFonts w:ascii="Playfair Display" w:eastAsia="Playfair Display" w:hAnsi="Playfair Display" w:cs="Playfair Display"/>
          <w:i/>
          <w:sz w:val="24"/>
          <w:szCs w:val="24"/>
        </w:rPr>
        <w:t>Min nabo Totoro</w:t>
      </w:r>
      <w:r>
        <w:rPr>
          <w:rFonts w:ascii="Playfair Display" w:eastAsia="Playfair Display" w:hAnsi="Playfair Display" w:cs="Playfair Display"/>
          <w:sz w:val="24"/>
          <w:szCs w:val="24"/>
        </w:rPr>
        <w:t xml:space="preserve"> (1988).</w:t>
      </w:r>
    </w:p>
    <w:p w14:paraId="0C4353AE" w14:textId="77777777" w:rsidR="00AB3B49" w:rsidRDefault="007C5743" w:rsidP="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Baggrundsstof: Shinto. I </w:t>
      </w:r>
      <w:r>
        <w:rPr>
          <w:rFonts w:ascii="Playfair Display" w:eastAsia="Playfair Display" w:hAnsi="Playfair Display" w:cs="Playfair Display"/>
          <w:i/>
          <w:sz w:val="24"/>
          <w:szCs w:val="24"/>
        </w:rPr>
        <w:t>Religioner lever</w:t>
      </w:r>
      <w:r>
        <w:rPr>
          <w:rFonts w:ascii="Playfair Display" w:eastAsia="Playfair Display" w:hAnsi="Playfair Display" w:cs="Playfair Display"/>
          <w:sz w:val="24"/>
          <w:szCs w:val="24"/>
        </w:rPr>
        <w:t>. Lindhardt og Ringhof.2017. s. 264.</w:t>
      </w:r>
    </w:p>
    <w:p w14:paraId="0DEDE3B9" w14:textId="77777777" w:rsidR="00AB3B49" w:rsidRDefault="00AB3B49">
      <w:pPr>
        <w:spacing w:after="160"/>
        <w:rPr>
          <w:rFonts w:ascii="Playfair Display" w:eastAsia="Playfair Display" w:hAnsi="Playfair Display" w:cs="Playfair Display"/>
          <w:sz w:val="24"/>
          <w:szCs w:val="24"/>
        </w:rPr>
      </w:pPr>
    </w:p>
    <w:p w14:paraId="7A45FBCE" w14:textId="77777777" w:rsidR="00AB3B49" w:rsidRDefault="007C5743">
      <w:pPr>
        <w:spacing w:after="16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Øvelser:</w:t>
      </w:r>
    </w:p>
    <w:p w14:paraId="69DA189A" w14:textId="77777777" w:rsidR="00AB3B49" w:rsidRDefault="007C5743">
      <w:pPr>
        <w:numPr>
          <w:ilvl w:val="0"/>
          <w:numId w:val="2"/>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Lad jer inspirere af manga-tegnestilen og lav jeres egen, hvor I illustrerer myten om Amaterasu og Japans skabelse.</w:t>
      </w:r>
    </w:p>
    <w:p w14:paraId="6EEEB511" w14:textId="77777777" w:rsidR="00AB3B49" w:rsidRDefault="007C5743">
      <w:pPr>
        <w:numPr>
          <w:ilvl w:val="0"/>
          <w:numId w:val="2"/>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Find onlinespillet SMITE og undersøg hvilken rolle de shintos guder spiller heri. Forklar det ud fra medialiseringsbegrebet.</w:t>
      </w:r>
    </w:p>
    <w:p w14:paraId="56A5474F" w14:textId="77777777" w:rsidR="00AB3B49" w:rsidRDefault="007C5743">
      <w:pPr>
        <w:numPr>
          <w:ilvl w:val="0"/>
          <w:numId w:val="2"/>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Se trailers til Hayao Miyazakis film, fx </w:t>
      </w:r>
      <w:r>
        <w:rPr>
          <w:rFonts w:ascii="Playfair Display" w:eastAsia="Playfair Display" w:hAnsi="Playfair Display" w:cs="Playfair Display"/>
          <w:i/>
          <w:sz w:val="24"/>
          <w:szCs w:val="24"/>
        </w:rPr>
        <w:t>Min nabo Totoro</w:t>
      </w:r>
      <w:r>
        <w:rPr>
          <w:rFonts w:ascii="Playfair Display" w:eastAsia="Playfair Display" w:hAnsi="Playfair Display" w:cs="Playfair Display"/>
          <w:sz w:val="24"/>
          <w:szCs w:val="24"/>
        </w:rPr>
        <w:t xml:space="preserve"> og </w:t>
      </w:r>
      <w:r>
        <w:rPr>
          <w:rFonts w:ascii="Playfair Display" w:eastAsia="Playfair Display" w:hAnsi="Playfair Display" w:cs="Playfair Display"/>
          <w:i/>
          <w:sz w:val="24"/>
          <w:szCs w:val="24"/>
        </w:rPr>
        <w:t>Chihiro og heksene</w:t>
      </w:r>
      <w:r>
        <w:rPr>
          <w:rFonts w:ascii="Playfair Display" w:eastAsia="Playfair Display" w:hAnsi="Playfair Display" w:cs="Playfair Display"/>
          <w:sz w:val="24"/>
          <w:szCs w:val="24"/>
        </w:rPr>
        <w:t>. Kan I finde eksempler på religiøse træk? Diskuter hvorvidt de religiøse motiver er udtryk for religion eller blot leg med religiøse referencer.</w:t>
      </w:r>
    </w:p>
    <w:p w14:paraId="1DAD7E8A" w14:textId="77777777" w:rsidR="00AB3B49" w:rsidRPr="00B104F1" w:rsidRDefault="007C5743">
      <w:pPr>
        <w:numPr>
          <w:ilvl w:val="0"/>
          <w:numId w:val="2"/>
        </w:numPr>
        <w:spacing w:line="360" w:lineRule="auto"/>
        <w:ind w:hanging="360"/>
        <w:contextualSpacing/>
        <w:rPr>
          <w:rFonts w:ascii="Playfair Display" w:eastAsia="Playfair Display" w:hAnsi="Playfair Display" w:cs="Playfair Display"/>
          <w:sz w:val="24"/>
          <w:szCs w:val="24"/>
          <w:lang w:val="en-US"/>
        </w:rPr>
      </w:pPr>
      <w:r w:rsidRPr="00B104F1">
        <w:rPr>
          <w:rFonts w:ascii="Playfair Display" w:eastAsia="Playfair Display" w:hAnsi="Playfair Display" w:cs="Playfair Display"/>
          <w:sz w:val="24"/>
          <w:szCs w:val="24"/>
          <w:lang w:val="en-US"/>
        </w:rPr>
        <w:t>Læs artiklen “If Pokémon Go feels like a religion, that’s because it kind of is” (</w:t>
      </w:r>
      <w:hyperlink r:id="rId24">
        <w:r w:rsidRPr="00B104F1">
          <w:rPr>
            <w:rFonts w:ascii="Playfair Display" w:eastAsia="Playfair Display" w:hAnsi="Playfair Display" w:cs="Playfair Display"/>
            <w:color w:val="1155CC"/>
            <w:sz w:val="24"/>
            <w:szCs w:val="24"/>
            <w:u w:val="single"/>
            <w:lang w:val="en-US"/>
          </w:rPr>
          <w:t>https://www.theguardian.com/technology/2016/jul/12/pokemon-go-addictive-game-shares-much-with-religious-devotion</w:t>
        </w:r>
      </w:hyperlink>
      <w:r w:rsidRPr="00B104F1">
        <w:rPr>
          <w:rFonts w:ascii="Playfair Display" w:eastAsia="Playfair Display" w:hAnsi="Playfair Display" w:cs="Playfair Display"/>
          <w:sz w:val="24"/>
          <w:szCs w:val="24"/>
          <w:lang w:val="en-US"/>
        </w:rPr>
        <w:t>) og forklar lighedstræk mellem spillet Pokémon Go og religion.</w:t>
      </w:r>
    </w:p>
    <w:p w14:paraId="23DC29A2" w14:textId="77777777" w:rsidR="00AB3B49" w:rsidRPr="00B104F1" w:rsidRDefault="00AB3B49">
      <w:pPr>
        <w:spacing w:after="160"/>
        <w:rPr>
          <w:rFonts w:ascii="Playfair Display" w:eastAsia="Playfair Display" w:hAnsi="Playfair Display" w:cs="Playfair Display"/>
          <w:sz w:val="24"/>
          <w:szCs w:val="24"/>
          <w:lang w:val="en-US"/>
        </w:rPr>
      </w:pPr>
    </w:p>
    <w:p w14:paraId="5035F9DA" w14:textId="77777777" w:rsidR="00AB3B49" w:rsidRPr="00B104F1" w:rsidRDefault="00AB3B49">
      <w:pPr>
        <w:rPr>
          <w:rFonts w:ascii="Playfair Display" w:eastAsia="Playfair Display" w:hAnsi="Playfair Display" w:cs="Playfair Display"/>
          <w:sz w:val="24"/>
          <w:szCs w:val="24"/>
          <w:lang w:val="en-US"/>
        </w:rPr>
      </w:pPr>
    </w:p>
    <w:p w14:paraId="41BEFD68" w14:textId="77777777" w:rsidR="00AB3B49" w:rsidRDefault="007C5743">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Forslag til læs videre:</w:t>
      </w:r>
    </w:p>
    <w:p w14:paraId="570C571F" w14:textId="77777777" w:rsidR="00AB3B49" w:rsidRPr="00B104F1" w:rsidRDefault="007C5743">
      <w:pPr>
        <w:numPr>
          <w:ilvl w:val="0"/>
          <w:numId w:val="15"/>
        </w:numPr>
        <w:spacing w:line="360" w:lineRule="auto"/>
        <w:ind w:hanging="360"/>
        <w:contextualSpacing/>
        <w:rPr>
          <w:rFonts w:ascii="Playfair Display" w:eastAsia="Playfair Display" w:hAnsi="Playfair Display" w:cs="Playfair Display"/>
          <w:sz w:val="24"/>
          <w:szCs w:val="24"/>
          <w:lang w:val="en-US"/>
        </w:rPr>
      </w:pPr>
      <w:r w:rsidRPr="00B104F1">
        <w:rPr>
          <w:rFonts w:ascii="Playfair Display" w:eastAsia="Playfair Display" w:hAnsi="Playfair Display" w:cs="Playfair Display"/>
          <w:sz w:val="24"/>
          <w:szCs w:val="24"/>
          <w:lang w:val="en-US"/>
        </w:rPr>
        <w:t xml:space="preserve">Esben Andreasen: “Shinto”: </w:t>
      </w:r>
      <w:hyperlink r:id="rId25">
        <w:r w:rsidRPr="00B104F1">
          <w:rPr>
            <w:rFonts w:ascii="Playfair Display" w:eastAsia="Playfair Display" w:hAnsi="Playfair Display" w:cs="Playfair Display"/>
            <w:color w:val="1155CC"/>
            <w:sz w:val="24"/>
            <w:szCs w:val="24"/>
            <w:u w:val="single"/>
            <w:lang w:val="en-US"/>
          </w:rPr>
          <w:t>http://www.emu.dk/sites/default/files/Introduktion%20til%20shinto.pdf</w:t>
        </w:r>
      </w:hyperlink>
    </w:p>
    <w:p w14:paraId="0F772006" w14:textId="77777777" w:rsidR="00AB3B49" w:rsidRDefault="007C5743">
      <w:pPr>
        <w:numPr>
          <w:ilvl w:val="0"/>
          <w:numId w:val="15"/>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Online-spillet SMITE. Fx </w:t>
      </w:r>
      <w:hyperlink r:id="rId26">
        <w:r>
          <w:rPr>
            <w:rFonts w:ascii="Playfair Display" w:eastAsia="Playfair Display" w:hAnsi="Playfair Display" w:cs="Playfair Display"/>
            <w:color w:val="1155CC"/>
            <w:sz w:val="24"/>
            <w:szCs w:val="24"/>
            <w:u w:val="single"/>
          </w:rPr>
          <w:t>https://www.smitegame.com/gods/amaterasu/</w:t>
        </w:r>
      </w:hyperlink>
    </w:p>
    <w:p w14:paraId="68143EE6" w14:textId="77777777" w:rsidR="00AB3B49" w:rsidRDefault="007C5743">
      <w:pPr>
        <w:numPr>
          <w:ilvl w:val="0"/>
          <w:numId w:val="15"/>
        </w:numPr>
        <w:spacing w:line="360" w:lineRule="auto"/>
        <w:ind w:hanging="36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Se Hayao Miyazakis film “Chihiro og heksene”.</w:t>
      </w:r>
    </w:p>
    <w:p w14:paraId="6BBDEAA6" w14:textId="77777777" w:rsidR="00AB3B49" w:rsidRDefault="00AB3B49">
      <w:pPr>
        <w:rPr>
          <w:rFonts w:ascii="Playfair Display" w:eastAsia="Playfair Display" w:hAnsi="Playfair Display" w:cs="Playfair Display"/>
          <w:sz w:val="24"/>
          <w:szCs w:val="24"/>
        </w:rPr>
      </w:pPr>
    </w:p>
    <w:sectPr w:rsidR="00AB3B49">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layfair Display">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4CC"/>
    <w:multiLevelType w:val="multilevel"/>
    <w:tmpl w:val="48E61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51FAA"/>
    <w:multiLevelType w:val="multilevel"/>
    <w:tmpl w:val="F88C9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AC521C"/>
    <w:multiLevelType w:val="multilevel"/>
    <w:tmpl w:val="A6FC9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6D246B"/>
    <w:multiLevelType w:val="multilevel"/>
    <w:tmpl w:val="D116E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8B72F4"/>
    <w:multiLevelType w:val="multilevel"/>
    <w:tmpl w:val="94BC6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AB0F9E"/>
    <w:multiLevelType w:val="multilevel"/>
    <w:tmpl w:val="9DBA9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0EB6607"/>
    <w:multiLevelType w:val="multilevel"/>
    <w:tmpl w:val="EB6A0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C985865"/>
    <w:multiLevelType w:val="multilevel"/>
    <w:tmpl w:val="E7622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0AC3960"/>
    <w:multiLevelType w:val="multilevel"/>
    <w:tmpl w:val="CB46D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69D3771"/>
    <w:multiLevelType w:val="multilevel"/>
    <w:tmpl w:val="3ABC8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1C7D95"/>
    <w:multiLevelType w:val="multilevel"/>
    <w:tmpl w:val="2CF08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E918A1"/>
    <w:multiLevelType w:val="multilevel"/>
    <w:tmpl w:val="1ACA2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0B6C64"/>
    <w:multiLevelType w:val="multilevel"/>
    <w:tmpl w:val="EAD20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C07EF0"/>
    <w:multiLevelType w:val="multilevel"/>
    <w:tmpl w:val="20525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CAA3539"/>
    <w:multiLevelType w:val="multilevel"/>
    <w:tmpl w:val="22848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8F00525"/>
    <w:multiLevelType w:val="multilevel"/>
    <w:tmpl w:val="104C7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3217F8A"/>
    <w:multiLevelType w:val="multilevel"/>
    <w:tmpl w:val="2F6E0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7DA2F29"/>
    <w:multiLevelType w:val="multilevel"/>
    <w:tmpl w:val="D17AB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2"/>
  </w:num>
  <w:num w:numId="4">
    <w:abstractNumId w:val="9"/>
  </w:num>
  <w:num w:numId="5">
    <w:abstractNumId w:val="15"/>
  </w:num>
  <w:num w:numId="6">
    <w:abstractNumId w:val="12"/>
  </w:num>
  <w:num w:numId="7">
    <w:abstractNumId w:val="3"/>
  </w:num>
  <w:num w:numId="8">
    <w:abstractNumId w:val="14"/>
  </w:num>
  <w:num w:numId="9">
    <w:abstractNumId w:val="1"/>
  </w:num>
  <w:num w:numId="10">
    <w:abstractNumId w:val="17"/>
  </w:num>
  <w:num w:numId="11">
    <w:abstractNumId w:val="10"/>
  </w:num>
  <w:num w:numId="12">
    <w:abstractNumId w:val="13"/>
  </w:num>
  <w:num w:numId="13">
    <w:abstractNumId w:val="0"/>
  </w:num>
  <w:num w:numId="14">
    <w:abstractNumId w:val="11"/>
  </w:num>
  <w:num w:numId="15">
    <w:abstractNumId w:val="8"/>
  </w:num>
  <w:num w:numId="16">
    <w:abstractNumId w:val="1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49"/>
    <w:rsid w:val="007C5743"/>
    <w:rsid w:val="00AB3B49"/>
    <w:rsid w:val="00B104F1"/>
    <w:rsid w:val="00CE1696"/>
    <w:rsid w:val="00F14B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3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character" w:styleId="Llink">
    <w:name w:val="Hyperlink"/>
    <w:basedOn w:val="Standardskrifttypeiafsnit"/>
    <w:uiPriority w:val="99"/>
    <w:unhideWhenUsed/>
    <w:rsid w:val="00F14B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character" w:styleId="Llink">
    <w:name w:val="Hyperlink"/>
    <w:basedOn w:val="Standardskrifttypeiafsnit"/>
    <w:uiPriority w:val="99"/>
    <w:unhideWhenUsed/>
    <w:rsid w:val="00F14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3cpCpfQoMig" TargetMode="External"/><Relationship Id="rId20" Type="http://schemas.openxmlformats.org/officeDocument/2006/relationships/hyperlink" Target="https://www.youtube.com/watch?v=-ow3pL8Px84" TargetMode="External"/><Relationship Id="rId21" Type="http://schemas.openxmlformats.org/officeDocument/2006/relationships/hyperlink" Target="https://www.youtube.com/watch?v=0-sGVXHbWvE" TargetMode="External"/><Relationship Id="rId22" Type="http://schemas.openxmlformats.org/officeDocument/2006/relationships/hyperlink" Target="https://www.youtube.com/watch?v=MegVkyremr4" TargetMode="External"/><Relationship Id="rId23" Type="http://schemas.openxmlformats.org/officeDocument/2006/relationships/hyperlink" Target="https://www.youtube.com/watch?v=MegVkyremr4" TargetMode="External"/><Relationship Id="rId24" Type="http://schemas.openxmlformats.org/officeDocument/2006/relationships/hyperlink" Target="https://www.theguardian.com/technology/2016/jul/12/pokemon-go-addictive-game-shares-much-with-religious-devotion" TargetMode="External"/><Relationship Id="rId25" Type="http://schemas.openxmlformats.org/officeDocument/2006/relationships/hyperlink" Target="http://www.emu.dk/sites/default/files/Introduktion%20til%20shinto.pdf" TargetMode="External"/><Relationship Id="rId26" Type="http://schemas.openxmlformats.org/officeDocument/2006/relationships/hyperlink" Target="https://www.smitegame.com/gods/amateras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RjHhFgvq_co" TargetMode="External"/><Relationship Id="rId11" Type="http://schemas.openxmlformats.org/officeDocument/2006/relationships/hyperlink" Target="https://www.youtube.com/watch?v=hf6B-_tp6gM" TargetMode="External"/><Relationship Id="rId12" Type="http://schemas.openxmlformats.org/officeDocument/2006/relationships/hyperlink" Target="http://www.jinjahoncho.or.jp/en/index.html" TargetMode="External"/><Relationship Id="rId13" Type="http://schemas.openxmlformats.org/officeDocument/2006/relationships/hyperlink" Target="http://www.isejingu.or.jp/en/" TargetMode="External"/><Relationship Id="rId14" Type="http://schemas.openxmlformats.org/officeDocument/2006/relationships/hyperlink" Target="http://www.jinjahoncho.or.jp/en/" TargetMode="External"/><Relationship Id="rId15" Type="http://schemas.openxmlformats.org/officeDocument/2006/relationships/hyperlink" Target="http://www.bbc.com/news/world-asia-25518137" TargetMode="External"/><Relationship Id="rId16" Type="http://schemas.openxmlformats.org/officeDocument/2006/relationships/hyperlink" Target="http://www.bbc.com/news/world-asia-25518137" TargetMode="External"/><Relationship Id="rId17" Type="http://schemas.openxmlformats.org/officeDocument/2006/relationships/hyperlink" Target="http://www.yasukuni.or.jp/english/" TargetMode="External"/><Relationship Id="rId18" Type="http://schemas.openxmlformats.org/officeDocument/2006/relationships/hyperlink" Target="http://www.yasukuni.or.jp/english/" TargetMode="External"/><Relationship Id="rId19" Type="http://schemas.openxmlformats.org/officeDocument/2006/relationships/hyperlink" Target="https://www.youtube.com/watch?v=-ow3pL8Px8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valuessurvey.org/WVSDocumentationWV6.jsp" TargetMode="External"/><Relationship Id="rId7" Type="http://schemas.openxmlformats.org/officeDocument/2006/relationships/hyperlink" Target="http://www.worldvaluessurvey.org/WVSDocumentationWV6.jsp" TargetMode="External"/><Relationship Id="rId8" Type="http://schemas.openxmlformats.org/officeDocument/2006/relationships/hyperlink" Target="https://www.youtube.com/watch?v=-P4BJdOMce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7200</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Ljungcrantz</dc:creator>
  <cp:lastModifiedBy>Ørestad</cp:lastModifiedBy>
  <cp:revision>3</cp:revision>
  <dcterms:created xsi:type="dcterms:W3CDTF">2017-06-22T09:16:00Z</dcterms:created>
  <dcterms:modified xsi:type="dcterms:W3CDTF">2017-06-27T11:22:00Z</dcterms:modified>
</cp:coreProperties>
</file>